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Opis funkcjonowania – załącznik do wniosku do powiatowego zespołu (PZON)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i rodzaj wniosku o orzeczenie; numer sprawy, jeśli nadano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Opis funkcjonowania i podpis znajdują się na następnej stronie.</w:t>
      </w:r>
    </w:p>
    <w:p>
      <w:pPr>
        <w:pStyle w:val="Title"/>
        <w:pageBreakBefore/>
      </w:pPr>
      <w:r>
        <w:t>Opis codziennego funkcjonowania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 osoba jest w stanie zrobić samodzielnie, a w czym potrzebuje pomocy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Jak często potrzebna jest pomoc i jakie są codzienne trudności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Dokumenty, informacje i wnioski dotyczące posiedzenia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funkcjonowania – załącznik do wniosku do powiatowego zespołu (PZON)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