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Karta pomocnicza do wykazu inwentarza</w:t>
      </w:r>
    </w:p>
    <w:p>
      <w:pPr>
        <w:spacing w:after="113"/>
      </w:pPr>
      <w:r>
        <w:rPr>
          <w:b/>
          <w:sz w:val="18"/>
        </w:rPr>
        <w:t>To karta pomocnicza, nie urzędowy wykaz inwentarza. Wzór: gov.pl/web/sprawiedliwosc/wzor-wykazu-inwentarza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zmarłego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Dokument dziedziczenia — data i numer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5" w:color="B7B7B7"/>
          <w:left w:val="single" w:sz="5" w:color="B7B7B7"/>
          <w:bottom w:val="single" w:sz="5" w:color="B7B7B7"/>
          <w:right w:val="single" w:sz="5" w:color="B7B7B7"/>
          <w:insideH w:val="single" w:sz="5" w:color="B7B7B7"/>
          <w:insideV w:val="single" w:sz="5" w:color="B7B7B7"/>
        </w:tblBorders>
        <w:tblCellMar>
          <w:top w:w="0" w:type="dxa"/>
          <w:bottom w:w="0" w:type="dxa"/>
          <w:left w:w="85" w:type="dxa"/>
          <w:right w:w="85" w:type="dxa"/>
        </w:tblCellMar>
      </w:tblPr>
      <w:tblGrid>
        <w:gridCol w:w="5669"/>
        <w:gridCol w:w="1984"/>
        <w:gridCol w:w="2211"/>
      </w:tblGrid>
      <w:tr>
        <w:trPr>
          <w:trHeight w:val="907" w:hRule="exact"/>
          <w:cantSplit/>
          <w:tblHeader/>
        </w:trPr>
        <w:tc>
          <w:tcPr>
            <w:tcW w:type="dxa" w:w="5669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Majątek lub dług</w:t>
            </w:r>
          </w:p>
        </w:tc>
        <w:tc>
          <w:tcPr>
            <w:tcW w:type="dxa" w:w="1984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Wartość</w:t>
            </w:r>
          </w:p>
        </w:tc>
        <w:tc>
          <w:tcPr>
            <w:tcW w:type="dxa" w:w="2211"/>
            <w:vAlign w:val="center"/>
            <w:shd w:fill="EEEEEE"/>
          </w:tcPr>
          <w:p>
            <w:pPr>
              <w:widowControl w:val="0"/>
              <w:spacing w:after="0" w:line="220" w:lineRule="exact"/>
            </w:pPr>
            <w:r>
              <w:rPr>
                <w:b/>
                <w:sz w:val="18"/>
              </w:rPr>
              <w:t>Uwagi</w:t>
            </w: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  <w:tr>
        <w:trPr>
          <w:trHeight w:val="1134" w:hRule="exact"/>
          <w:cantSplit/>
        </w:trPr>
        <w:tc>
          <w:tcPr>
            <w:tcW w:type="dxa" w:w="5669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1984"/>
            <w:vAlign w:val="center"/>
          </w:tcPr>
          <w:p>
            <w:pPr>
              <w:widowControl w:val="0"/>
              <w:spacing w:after="0" w:line="220" w:lineRule="exact"/>
            </w:pPr>
          </w:p>
        </w:tc>
        <w:tc>
          <w:tcPr>
            <w:tcW w:type="dxa" w:w="2211"/>
            <w:vAlign w:val="center"/>
          </w:tcPr>
          <w:p>
            <w:pPr>
              <w:widowControl w:val="0"/>
              <w:spacing w:after="0" w:line="220" w:lineRule="exact"/>
            </w:pPr>
          </w:p>
        </w:tc>
      </w:tr>
    </w:tbl>
    <w:p>
      <w:pPr>
        <w:spacing w:after="0" w:line="40" w:lineRule="exact"/>
      </w:pPr>
      <w:r>
        <w:rPr>
          <w:sz w:val="4"/>
        </w:rPr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Dodatkowe informacje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Wykaz inwentarza – zestawienie majątku i długów (do sądu lub notariusza)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